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5" w:rsidRPr="009B79C3" w:rsidRDefault="00382C1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296"/>
        <w:gridCol w:w="3903"/>
        <w:gridCol w:w="2029"/>
      </w:tblGrid>
      <w:tr w:rsidR="00502905" w:rsidRPr="009B79C3">
        <w:tc>
          <w:tcPr>
            <w:tcW w:w="9854" w:type="dxa"/>
            <w:gridSpan w:val="4"/>
            <w:shd w:val="clear" w:color="auto" w:fill="auto"/>
          </w:tcPr>
          <w:p w:rsidR="00502905" w:rsidRPr="009B79C3" w:rsidRDefault="004405ED" w:rsidP="00CF7AD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933450" cy="97155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05" w:rsidRPr="009B79C3">
        <w:tc>
          <w:tcPr>
            <w:tcW w:w="9854" w:type="dxa"/>
            <w:gridSpan w:val="4"/>
            <w:shd w:val="clear" w:color="auto" w:fill="FFFF00"/>
          </w:tcPr>
          <w:p w:rsidR="00502905" w:rsidRPr="009B79C3" w:rsidRDefault="00502905" w:rsidP="00CF7AD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B79C3">
              <w:rPr>
                <w:rFonts w:ascii="Verdana" w:hAnsi="Verdana"/>
                <w:b/>
                <w:sz w:val="32"/>
                <w:szCs w:val="32"/>
              </w:rPr>
              <w:t>Referat</w:t>
            </w:r>
            <w:r w:rsidR="00E657C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E657C1">
              <w:rPr>
                <w:rFonts w:ascii="Verdana" w:hAnsi="Verdana"/>
                <w:b/>
                <w:sz w:val="32"/>
                <w:szCs w:val="32"/>
              </w:rPr>
              <w:t>Skypemøde</w:t>
            </w:r>
            <w:proofErr w:type="spellEnd"/>
            <w:r w:rsidRPr="009B79C3">
              <w:rPr>
                <w:rFonts w:ascii="Verdana" w:hAnsi="Verdana"/>
                <w:b/>
                <w:sz w:val="32"/>
                <w:szCs w:val="32"/>
              </w:rPr>
              <w:t xml:space="preserve"> - Dansk Squash Forbund</w:t>
            </w: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Mødegruppe: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502905" w:rsidP="00382C15">
            <w:pPr>
              <w:rPr>
                <w:rFonts w:ascii="Verdana" w:hAnsi="Verdana"/>
              </w:rPr>
            </w:pPr>
            <w:r w:rsidRPr="009B79C3">
              <w:rPr>
                <w:rFonts w:ascii="Verdana" w:hAnsi="Verdana"/>
              </w:rPr>
              <w:t>Bestyrelsen</w:t>
            </w: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Dato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3A478A" w:rsidRDefault="00267A1A" w:rsidP="00C42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C42C7A">
              <w:rPr>
                <w:rFonts w:ascii="Verdana" w:hAnsi="Verdana"/>
                <w:sz w:val="20"/>
                <w:szCs w:val="20"/>
              </w:rPr>
              <w:t>-03-2013</w:t>
            </w: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Sted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267A1A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Start: 21.00, slut: 22.2</w:t>
            </w:r>
            <w:r w:rsidR="00E657C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Deltagere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382C15" w:rsidRPr="009B79C3" w:rsidRDefault="00502905" w:rsidP="00382C15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t xml:space="preserve">Tom Kjærbye Larsen (TKL), </w:t>
            </w:r>
            <w:r w:rsidR="00382C15" w:rsidRPr="009B79C3">
              <w:rPr>
                <w:rFonts w:ascii="Verdana" w:hAnsi="Verdana"/>
                <w:sz w:val="20"/>
                <w:szCs w:val="20"/>
              </w:rPr>
              <w:t>Bo C. Christiansen (BCC)</w:t>
            </w:r>
            <w:r w:rsidR="002263F1">
              <w:rPr>
                <w:rFonts w:ascii="Verdana" w:hAnsi="Verdana"/>
                <w:sz w:val="20"/>
                <w:szCs w:val="20"/>
              </w:rPr>
              <w:t>, Peter Mindegaard (PM)</w:t>
            </w:r>
            <w:r w:rsidR="00267A1A">
              <w:rPr>
                <w:rFonts w:ascii="Verdana" w:hAnsi="Verdana"/>
                <w:sz w:val="20"/>
                <w:szCs w:val="20"/>
              </w:rPr>
              <w:t>, Allan B. Christensen (ABC), Kr</w:t>
            </w:r>
            <w:r w:rsidR="00267A1A">
              <w:rPr>
                <w:rFonts w:ascii="Verdana" w:hAnsi="Verdana"/>
                <w:sz w:val="20"/>
                <w:szCs w:val="20"/>
              </w:rPr>
              <w:t>i</w:t>
            </w:r>
            <w:r w:rsidR="00267A1A">
              <w:rPr>
                <w:rFonts w:ascii="Verdana" w:hAnsi="Verdana"/>
                <w:sz w:val="20"/>
                <w:szCs w:val="20"/>
              </w:rPr>
              <w:t>stian Frost (KF)</w:t>
            </w:r>
          </w:p>
          <w:p w:rsidR="00382C15" w:rsidRPr="009B79C3" w:rsidRDefault="00382C15" w:rsidP="00382C15">
            <w:pPr>
              <w:rPr>
                <w:rFonts w:ascii="Verdana" w:hAnsi="Verdana"/>
                <w:sz w:val="20"/>
                <w:szCs w:val="20"/>
              </w:rPr>
            </w:pPr>
          </w:p>
          <w:p w:rsidR="00502905" w:rsidRPr="009B79C3" w:rsidRDefault="00502905" w:rsidP="002263F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Afbud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382C15" w:rsidRPr="009B79C3" w:rsidRDefault="00267A1A" w:rsidP="00C42C7A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t>Asger G</w:t>
            </w:r>
            <w:r>
              <w:rPr>
                <w:rFonts w:ascii="Verdana" w:hAnsi="Verdana"/>
                <w:sz w:val="20"/>
                <w:szCs w:val="20"/>
              </w:rPr>
              <w:t>rønlund</w:t>
            </w:r>
            <w:r w:rsidRPr="009B79C3">
              <w:rPr>
                <w:rFonts w:ascii="Verdana" w:hAnsi="Verdana"/>
                <w:sz w:val="20"/>
                <w:szCs w:val="20"/>
              </w:rPr>
              <w:t xml:space="preserve"> Andersen (AGA),</w:t>
            </w: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Referent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267A1A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</w:t>
            </w:r>
          </w:p>
        </w:tc>
      </w:tr>
      <w:tr w:rsidR="002263F1" w:rsidRPr="009B79C3">
        <w:tc>
          <w:tcPr>
            <w:tcW w:w="392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Referatudkast godkendes s</w:t>
            </w:r>
            <w:r w:rsidRPr="009B79C3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9B79C3">
              <w:rPr>
                <w:rFonts w:ascii="Verdana" w:hAnsi="Verdana"/>
                <w:b/>
                <w:sz w:val="20"/>
                <w:szCs w:val="20"/>
              </w:rPr>
              <w:t>nest:</w:t>
            </w:r>
          </w:p>
        </w:tc>
        <w:tc>
          <w:tcPr>
            <w:tcW w:w="5932" w:type="dxa"/>
            <w:gridSpan w:val="2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3F1" w:rsidRPr="009B79C3">
        <w:tc>
          <w:tcPr>
            <w:tcW w:w="3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79C3">
              <w:rPr>
                <w:rFonts w:ascii="Verdana" w:hAnsi="Verdana"/>
                <w:b/>
                <w:sz w:val="20"/>
                <w:szCs w:val="20"/>
              </w:rPr>
              <w:t>Referat udsendes senest:</w:t>
            </w:r>
          </w:p>
        </w:tc>
        <w:tc>
          <w:tcPr>
            <w:tcW w:w="5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3F1" w:rsidRPr="009B79C3">
        <w:tc>
          <w:tcPr>
            <w:tcW w:w="62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Nr.</w:t>
            </w:r>
          </w:p>
        </w:tc>
        <w:tc>
          <w:tcPr>
            <w:tcW w:w="329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Punkt</w:t>
            </w:r>
          </w:p>
        </w:tc>
        <w:tc>
          <w:tcPr>
            <w:tcW w:w="3903" w:type="dxa"/>
            <w:shd w:val="clear" w:color="auto" w:fill="auto"/>
          </w:tcPr>
          <w:p w:rsidR="00502905" w:rsidRPr="009B79C3" w:rsidRDefault="00502905">
            <w:pPr>
              <w:rPr>
                <w:rFonts w:ascii="Verdana" w:hAnsi="Verdana"/>
              </w:rPr>
            </w:pPr>
            <w:r w:rsidRPr="009B79C3">
              <w:rPr>
                <w:rFonts w:ascii="Verdana" w:hAnsi="Verdana"/>
                <w:b/>
              </w:rPr>
              <w:t>Kommentar/ beslutning/ opgave</w:t>
            </w:r>
          </w:p>
        </w:tc>
        <w:tc>
          <w:tcPr>
            <w:tcW w:w="2029" w:type="dxa"/>
            <w:shd w:val="clear" w:color="auto" w:fill="auto"/>
          </w:tcPr>
          <w:p w:rsidR="00502905" w:rsidRPr="009B79C3" w:rsidRDefault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Fortsættende punkt/</w:t>
            </w:r>
          </w:p>
          <w:p w:rsidR="00502905" w:rsidRPr="009B79C3" w:rsidRDefault="00502905">
            <w:pPr>
              <w:rPr>
                <w:rFonts w:ascii="Verdana" w:hAnsi="Verdana"/>
                <w:b/>
              </w:rPr>
            </w:pPr>
            <w:r w:rsidRPr="009B79C3">
              <w:rPr>
                <w:rFonts w:ascii="Verdana" w:hAnsi="Verdana"/>
                <w:b/>
              </w:rPr>
              <w:t>Ansvarlig</w:t>
            </w:r>
          </w:p>
        </w:tc>
      </w:tr>
      <w:tr w:rsidR="002263F1" w:rsidRPr="009B79C3">
        <w:tc>
          <w:tcPr>
            <w:tcW w:w="62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502905" w:rsidRPr="009B79C3" w:rsidRDefault="00267A1A" w:rsidP="00C42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Bemanding af bestyrelse og udvalg</w:t>
            </w:r>
          </w:p>
        </w:tc>
        <w:tc>
          <w:tcPr>
            <w:tcW w:w="3903" w:type="dxa"/>
            <w:shd w:val="clear" w:color="auto" w:fill="auto"/>
          </w:tcPr>
          <w:p w:rsidR="006246E5" w:rsidRDefault="00267A1A" w:rsidP="00110A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AGA har meddelt, at han ikke ge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opstiller ved valget i april – og at han ikke kan være aktiv i bestyre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sesarbejdet med øjeblikkelig vir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 xml:space="preserve">ning. Han vil udføre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TU-arbejde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til og med slutspillet. Det betyder, at TU er stærkt nødlidende. Det bør overvejes at ændre i strukturen omkring TU og appeludvalget, sål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des at appeludvalget bliver første (og eneste) klageinstans. Målet kunne være et Ordens- og amatø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udvalg, som det kendes i mange andre forbund.</w:t>
            </w:r>
          </w:p>
          <w:p w:rsidR="00267A1A" w:rsidRDefault="00267A1A" w:rsidP="00110A9D">
            <w:pPr>
              <w:rPr>
                <w:rFonts w:ascii="Verdana" w:hAnsi="Verdana"/>
                <w:sz w:val="20"/>
                <w:szCs w:val="20"/>
              </w:rPr>
            </w:pPr>
          </w:p>
          <w:p w:rsidR="00267A1A" w:rsidRDefault="00267A1A" w:rsidP="00110A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 fremtidige procedure kunne herefter være:</w:t>
            </w:r>
          </w:p>
          <w:p w:rsidR="00267A1A" w:rsidRDefault="00267A1A" w:rsidP="00110A9D">
            <w:pPr>
              <w:rPr>
                <w:rFonts w:ascii="Verdana" w:hAnsi="Verdana"/>
                <w:sz w:val="20"/>
                <w:szCs w:val="20"/>
              </w:rPr>
            </w:pPr>
          </w:p>
          <w:p w:rsidR="00267A1A" w:rsidRDefault="00267A1A" w:rsidP="00267A1A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267A1A">
              <w:rPr>
                <w:rFonts w:ascii="Verdana" w:hAnsi="Verdana"/>
                <w:sz w:val="20"/>
                <w:szCs w:val="20"/>
              </w:rPr>
              <w:t>Turneringsplanlægning via Squashportalen (og Turn</w:t>
            </w:r>
            <w:r w:rsidRPr="00267A1A">
              <w:rPr>
                <w:rFonts w:ascii="Verdana" w:hAnsi="Verdana"/>
                <w:sz w:val="20"/>
                <w:szCs w:val="20"/>
              </w:rPr>
              <w:t>e</w:t>
            </w:r>
            <w:r w:rsidRPr="00267A1A">
              <w:rPr>
                <w:rFonts w:ascii="Verdana" w:hAnsi="Verdana"/>
                <w:sz w:val="20"/>
                <w:szCs w:val="20"/>
              </w:rPr>
              <w:t>ringsmødet i maj)</w:t>
            </w:r>
          </w:p>
          <w:p w:rsidR="00267A1A" w:rsidRDefault="00267A1A" w:rsidP="00267A1A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Klager o.l., samt ”daglige spørgsmål” der har relation til turneringsreglerne b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handles på forbundskont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ret</w:t>
            </w:r>
          </w:p>
          <w:p w:rsidR="00973DFC" w:rsidRDefault="00973DFC" w:rsidP="00267A1A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Forhold, der ikke kan afkl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res på kontoret videresendes til ”Amatør- og Ordensu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valg”</w:t>
            </w:r>
          </w:p>
          <w:p w:rsidR="00973DFC" w:rsidRDefault="00973DFC" w:rsidP="00267A1A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Afgørelser herfra kan indkl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ges til DIF</w:t>
            </w:r>
          </w:p>
          <w:p w:rsidR="00973DFC" w:rsidRDefault="00973DFC" w:rsidP="00973DFC">
            <w:pPr>
              <w:rPr>
                <w:rFonts w:ascii="Verdana" w:hAnsi="Verdana"/>
                <w:sz w:val="20"/>
                <w:szCs w:val="20"/>
              </w:rPr>
            </w:pPr>
          </w:p>
          <w:p w:rsidR="00973DFC" w:rsidRDefault="00973DFC" w:rsidP="00973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skal arbejdes på emner til nyt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TU-udvalg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Indtil det er på plads vil ABC og BCC samt Rasmus forsøge at gøre en ekstra indsats på TU o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rådet.</w:t>
            </w:r>
          </w:p>
          <w:p w:rsidR="00973DFC" w:rsidRDefault="00973DFC" w:rsidP="00973DFC">
            <w:pPr>
              <w:rPr>
                <w:rFonts w:ascii="Verdana" w:hAnsi="Verdana"/>
                <w:sz w:val="20"/>
                <w:szCs w:val="20"/>
              </w:rPr>
            </w:pPr>
          </w:p>
          <w:p w:rsidR="00973DFC" w:rsidRDefault="00973DFC" w:rsidP="00973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Rekruttering:</w:t>
            </w:r>
          </w:p>
          <w:p w:rsidR="00973DFC" w:rsidRDefault="00973DFC" w:rsidP="00973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 kontakter Skovbakken (oblig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torisk deltagelse efter at AGA er fraflyttet klubben), Odense-klubberne, Helsingør, Farum, Silk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borg og Aalborg</w:t>
            </w:r>
          </w:p>
          <w:p w:rsidR="00973DFC" w:rsidRPr="00973DFC" w:rsidRDefault="00973DFC" w:rsidP="00973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ABC kontakter Esbjerg</w:t>
            </w:r>
          </w:p>
          <w:p w:rsidR="00267A1A" w:rsidRDefault="00267A1A" w:rsidP="00110A9D">
            <w:pPr>
              <w:rPr>
                <w:rFonts w:ascii="Verdana" w:hAnsi="Verdana"/>
                <w:sz w:val="20"/>
                <w:szCs w:val="20"/>
              </w:rPr>
            </w:pPr>
          </w:p>
          <w:p w:rsidR="00267A1A" w:rsidRPr="00A36323" w:rsidRDefault="00267A1A" w:rsidP="00110A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Palle Laursen har givet tilsagn om at indtræde i senioreliteudvalget.</w:t>
            </w:r>
          </w:p>
        </w:tc>
        <w:tc>
          <w:tcPr>
            <w:tcW w:w="2029" w:type="dxa"/>
            <w:shd w:val="clear" w:color="auto" w:fill="auto"/>
          </w:tcPr>
          <w:p w:rsidR="00502905" w:rsidRPr="000E3462" w:rsidRDefault="00973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Alle</w:t>
            </w:r>
          </w:p>
        </w:tc>
      </w:tr>
      <w:tr w:rsidR="002263F1" w:rsidRPr="009B79C3">
        <w:tc>
          <w:tcPr>
            <w:tcW w:w="626" w:type="dxa"/>
            <w:shd w:val="clear" w:color="auto" w:fill="auto"/>
          </w:tcPr>
          <w:p w:rsidR="00502905" w:rsidRPr="009B79C3" w:rsidRDefault="00502905" w:rsidP="00502905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6" w:type="dxa"/>
            <w:shd w:val="clear" w:color="auto" w:fill="auto"/>
          </w:tcPr>
          <w:p w:rsidR="00502905" w:rsidRPr="009B79C3" w:rsidRDefault="00973DFC" w:rsidP="00C42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Bestyrelsesmøde den 29. marts</w:t>
            </w:r>
          </w:p>
        </w:tc>
        <w:tc>
          <w:tcPr>
            <w:tcW w:w="3903" w:type="dxa"/>
            <w:shd w:val="clear" w:color="auto" w:fill="auto"/>
          </w:tcPr>
          <w:p w:rsidR="0024600B" w:rsidRPr="009B79C3" w:rsidRDefault="00973DFC" w:rsidP="00382C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Mødet holdes i Squashcenter Da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mark kl. 10. Efter frokost wor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 xml:space="preserve">shops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o.i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(Maiken og Rasmus) om idéer til at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udvikle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sport og forbund. Tine Teilmann fra DIF dukker op i løbet af eftermiddagen.</w:t>
            </w:r>
          </w:p>
        </w:tc>
        <w:tc>
          <w:tcPr>
            <w:tcW w:w="2029" w:type="dxa"/>
            <w:shd w:val="clear" w:color="auto" w:fill="auto"/>
          </w:tcPr>
          <w:p w:rsidR="00A6603A" w:rsidRPr="009B79C3" w:rsidRDefault="00973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TKL</w:t>
            </w:r>
          </w:p>
        </w:tc>
      </w:tr>
      <w:tr w:rsidR="002263F1" w:rsidRPr="009B79C3">
        <w:tc>
          <w:tcPr>
            <w:tcW w:w="626" w:type="dxa"/>
            <w:shd w:val="clear" w:color="auto" w:fill="auto"/>
          </w:tcPr>
          <w:p w:rsidR="00502905" w:rsidRPr="009B79C3" w:rsidRDefault="00131FA1" w:rsidP="00502905">
            <w:pPr>
              <w:rPr>
                <w:rFonts w:ascii="Verdana" w:hAnsi="Verdana"/>
                <w:sz w:val="20"/>
                <w:szCs w:val="20"/>
              </w:rPr>
            </w:pPr>
            <w:r w:rsidRPr="009B79C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96" w:type="dxa"/>
            <w:shd w:val="clear" w:color="auto" w:fill="auto"/>
          </w:tcPr>
          <w:p w:rsidR="00502905" w:rsidRPr="009B79C3" w:rsidRDefault="00973DFC" w:rsidP="00C42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Hjemmesiden</w:t>
            </w:r>
          </w:p>
        </w:tc>
        <w:tc>
          <w:tcPr>
            <w:tcW w:w="3903" w:type="dxa"/>
            <w:shd w:val="clear" w:color="auto" w:fill="auto"/>
          </w:tcPr>
          <w:p w:rsidR="007B50A8" w:rsidRDefault="00973DFC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Hjemmesiden har været ned i 3-4 dage,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Composite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giver udtryk for bekymring om sidens stabilitet, da den bagvedliggende software er noget bedaget.</w:t>
            </w:r>
          </w:p>
          <w:p w:rsidR="00973DFC" w:rsidRPr="009B79C3" w:rsidRDefault="00973DFC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bør skifte til anden platform.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TKL’s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meddelelse om, at han har iværksat dette arbejde gav anle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ning til nogen debat, bl.a. af teknisk art. TKL vil udsende speciel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om sagen med flere detaljer, og emnet sættes på den 29. marts</w:t>
            </w:r>
          </w:p>
        </w:tc>
        <w:tc>
          <w:tcPr>
            <w:tcW w:w="2029" w:type="dxa"/>
            <w:shd w:val="clear" w:color="auto" w:fill="auto"/>
          </w:tcPr>
          <w:p w:rsidR="00A6603A" w:rsidRPr="009B79C3" w:rsidRDefault="00A660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3F1" w:rsidRPr="009B79C3">
        <w:tc>
          <w:tcPr>
            <w:tcW w:w="626" w:type="dxa"/>
            <w:shd w:val="clear" w:color="auto" w:fill="auto"/>
          </w:tcPr>
          <w:p w:rsidR="00D53F67" w:rsidRPr="009B79C3" w:rsidRDefault="000E3462" w:rsidP="00A857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D53F67" w:rsidRPr="009B79C3" w:rsidRDefault="00973DFC" w:rsidP="00B96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Repræsentantskabsmødet</w:t>
            </w:r>
          </w:p>
        </w:tc>
        <w:tc>
          <w:tcPr>
            <w:tcW w:w="3903" w:type="dxa"/>
            <w:shd w:val="clear" w:color="auto" w:fill="auto"/>
          </w:tcPr>
          <w:p w:rsidR="004F3A6B" w:rsidRDefault="00367A33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Mødet holdes i Squashcenter Da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mark søndag 27. april kl. 10. Første varsel er lagt på hjemmesiden inden den forgangne weekend (6 uger før mødets afholdelse). Efter frokost workshops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o.i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(Maiken og Rasmus) om idéer til at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udvikle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sport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bun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forhåbentlig med god tilslu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ning fra klubberne.</w:t>
            </w:r>
          </w:p>
          <w:p w:rsidR="00367A33" w:rsidRDefault="00367A33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Regnskabet er hos den tekniske revisor (KPMG) og de kritiske rev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sorer har fået tilsendt årsrapporten med opfordring til at komme til Odense for at se på bilag.</w:t>
            </w:r>
          </w:p>
          <w:p w:rsidR="00367A33" w:rsidRDefault="00367A33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Johan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Evensen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har indvilget i at være dirigent.</w:t>
            </w:r>
          </w:p>
          <w:p w:rsidR="00367A33" w:rsidRDefault="00367A33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valg er BCC, KF og Tobias Pede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sen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(fra Viborg, som har meddelt, at han gerne indtræder i bestyre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sen.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Han er inviteret til bestyre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sesmødet den 29. marts). AGA ville også have været på valg, men han genopstiller som sagt ikke. Emne til afløser?</w:t>
            </w:r>
          </w:p>
          <w:p w:rsidR="00367A33" w:rsidRDefault="00367A33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indkommet forslag vedr.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tedivisonen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m.v. fra Birkerød. Fo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slaget skal jo behandles på Turn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ringsmødet i maj, men materialet vil blive udsendt sammen med det øvrige materiale den 4. april (end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lig indkaldelse til ordinært repr</w:t>
            </w:r>
            <w:r>
              <w:rPr>
                <w:rFonts w:ascii="Verdana" w:hAnsi="Verdana"/>
                <w:sz w:val="20"/>
                <w:szCs w:val="20"/>
              </w:rPr>
              <w:t>æ</w:t>
            </w:r>
            <w:r>
              <w:rPr>
                <w:rFonts w:ascii="Verdana" w:hAnsi="Verdana"/>
                <w:sz w:val="20"/>
                <w:szCs w:val="20"/>
              </w:rPr>
              <w:t>sentantska</w:t>
            </w:r>
            <w:r w:rsidR="003041A4">
              <w:rPr>
                <w:rFonts w:ascii="Verdana" w:hAnsi="Verdana"/>
                <w:sz w:val="20"/>
                <w:szCs w:val="20"/>
              </w:rPr>
              <w:t>bsmøde). Det giver ti</w:t>
            </w:r>
            <w:r>
              <w:rPr>
                <w:rFonts w:ascii="Verdana" w:hAnsi="Verdana"/>
                <w:sz w:val="20"/>
                <w:szCs w:val="20"/>
              </w:rPr>
              <w:t>d til debat inden turneringsmødet.</w:t>
            </w:r>
          </w:p>
          <w:p w:rsidR="003041A4" w:rsidRDefault="003041A4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 skal der arbejdes på at give det kommende TU kompetence til at være fleksibel i afviklingen af elitedivisionen næste år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(afhængigt af hvad der vedtages på turn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ringsmødet.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Det vil ikke være real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stisk at få ændret regelsættene i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den den nye turnering).</w:t>
            </w:r>
          </w:p>
          <w:p w:rsidR="003041A4" w:rsidRPr="009B79C3" w:rsidRDefault="003041A4" w:rsidP="007B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bør overvejes, om der skal laves andre regler for afholdelse af slutspillet.</w:t>
            </w:r>
          </w:p>
        </w:tc>
        <w:tc>
          <w:tcPr>
            <w:tcW w:w="2029" w:type="dxa"/>
            <w:shd w:val="clear" w:color="auto" w:fill="auto"/>
          </w:tcPr>
          <w:p w:rsidR="000E3462" w:rsidRPr="009B79C3" w:rsidRDefault="000E3462" w:rsidP="00D335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3F1" w:rsidRPr="009B79C3">
        <w:tc>
          <w:tcPr>
            <w:tcW w:w="626" w:type="dxa"/>
            <w:shd w:val="clear" w:color="auto" w:fill="auto"/>
          </w:tcPr>
          <w:p w:rsidR="00D53F67" w:rsidRPr="009B79C3" w:rsidRDefault="00B96BAF" w:rsidP="005029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3296" w:type="dxa"/>
            <w:shd w:val="clear" w:color="auto" w:fill="auto"/>
          </w:tcPr>
          <w:p w:rsidR="00D53F67" w:rsidRPr="009B79C3" w:rsidRDefault="00367A33" w:rsidP="00B96B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</w:t>
            </w:r>
          </w:p>
        </w:tc>
        <w:tc>
          <w:tcPr>
            <w:tcW w:w="3903" w:type="dxa"/>
            <w:shd w:val="clear" w:color="auto" w:fill="auto"/>
          </w:tcPr>
          <w:p w:rsidR="00367A33" w:rsidRPr="00367A33" w:rsidRDefault="00367A33" w:rsidP="00367A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indkaldt til generalforsamling i KUF (</w:t>
            </w:r>
            <w:r w:rsidRPr="00367A33">
              <w:rPr>
                <w:rFonts w:ascii="Verdana" w:hAnsi="Verdana"/>
                <w:sz w:val="20"/>
                <w:szCs w:val="20"/>
              </w:rPr>
              <w:t>Kontor for udvikling og fæ</w:t>
            </w:r>
            <w:r w:rsidRPr="00367A33">
              <w:rPr>
                <w:rFonts w:ascii="Verdana" w:hAnsi="Verdana"/>
                <w:sz w:val="20"/>
                <w:szCs w:val="20"/>
              </w:rPr>
              <w:t>l</w:t>
            </w:r>
            <w:r w:rsidRPr="00367A33">
              <w:rPr>
                <w:rFonts w:ascii="Verdana" w:hAnsi="Verdana"/>
                <w:sz w:val="20"/>
                <w:szCs w:val="20"/>
              </w:rPr>
              <w:t>lesskab) i Idrættens Hus den 27. april. BCC kan ikke deltage</w:t>
            </w:r>
            <w:r>
              <w:rPr>
                <w:rFonts w:ascii="Verdana" w:hAnsi="Verdana"/>
                <w:sz w:val="20"/>
                <w:szCs w:val="20"/>
              </w:rPr>
              <w:t xml:space="preserve"> – TKL forsøger at flytte andet arrang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ment, da det er første år,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DSqF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 med i dette samarbejde.</w:t>
            </w:r>
          </w:p>
          <w:p w:rsidR="00D53F67" w:rsidRPr="009B79C3" w:rsidRDefault="003041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Maiken er skuffet over begrænset tilmelding til de planlagte 1-2-Træner kurser. Især er kurset i h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vedstadsområdet tyndt besat. Vi opfordres til at agitere i vore hje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klubber.</w:t>
            </w:r>
          </w:p>
        </w:tc>
        <w:tc>
          <w:tcPr>
            <w:tcW w:w="2029" w:type="dxa"/>
            <w:shd w:val="clear" w:color="auto" w:fill="auto"/>
          </w:tcPr>
          <w:p w:rsidR="00D53F67" w:rsidRPr="009B79C3" w:rsidRDefault="00D53F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2905" w:rsidRPr="009B79C3" w:rsidRDefault="00502905" w:rsidP="00C75B11">
      <w:pPr>
        <w:rPr>
          <w:rFonts w:ascii="Verdana" w:hAnsi="Verdana"/>
          <w:sz w:val="20"/>
          <w:szCs w:val="20"/>
        </w:rPr>
      </w:pPr>
    </w:p>
    <w:sectPr w:rsidR="00502905" w:rsidRPr="009B79C3" w:rsidSect="003E66F2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EB"/>
    <w:multiLevelType w:val="hybridMultilevel"/>
    <w:tmpl w:val="B0145D16"/>
    <w:lvl w:ilvl="0" w:tplc="88A4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60C27"/>
    <w:multiLevelType w:val="hybridMultilevel"/>
    <w:tmpl w:val="BCB6083A"/>
    <w:lvl w:ilvl="0" w:tplc="DDD4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8F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A3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A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E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8F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0569C7"/>
    <w:multiLevelType w:val="hybridMultilevel"/>
    <w:tmpl w:val="74762C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2ABF"/>
    <w:multiLevelType w:val="hybridMultilevel"/>
    <w:tmpl w:val="22EAC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21708"/>
    <w:multiLevelType w:val="hybridMultilevel"/>
    <w:tmpl w:val="B420A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4543"/>
    <w:multiLevelType w:val="hybridMultilevel"/>
    <w:tmpl w:val="C71E8540"/>
    <w:lvl w:ilvl="0" w:tplc="5C38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6A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AD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8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0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0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6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2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732A7C"/>
    <w:multiLevelType w:val="hybridMultilevel"/>
    <w:tmpl w:val="0B12FD6A"/>
    <w:lvl w:ilvl="0" w:tplc="925C3E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844305"/>
    <w:multiLevelType w:val="hybridMultilevel"/>
    <w:tmpl w:val="AF98E5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61510"/>
    <w:multiLevelType w:val="hybridMultilevel"/>
    <w:tmpl w:val="880C9A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A0449"/>
    <w:multiLevelType w:val="hybridMultilevel"/>
    <w:tmpl w:val="28C6A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06972"/>
    <w:multiLevelType w:val="hybridMultilevel"/>
    <w:tmpl w:val="F9806C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C5F10"/>
    <w:multiLevelType w:val="hybridMultilevel"/>
    <w:tmpl w:val="79F63A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autoHyphenation/>
  <w:hyphenationZone w:val="425"/>
  <w:characterSpacingControl w:val="doNotCompress"/>
  <w:compat/>
  <w:rsids>
    <w:rsidRoot w:val="00502905"/>
    <w:rsid w:val="00002A4D"/>
    <w:rsid w:val="000240CD"/>
    <w:rsid w:val="000807BF"/>
    <w:rsid w:val="00086313"/>
    <w:rsid w:val="000B1606"/>
    <w:rsid w:val="000E3462"/>
    <w:rsid w:val="00110A9D"/>
    <w:rsid w:val="00131FA1"/>
    <w:rsid w:val="001F40B7"/>
    <w:rsid w:val="002263F1"/>
    <w:rsid w:val="00227972"/>
    <w:rsid w:val="0024600B"/>
    <w:rsid w:val="00267A1A"/>
    <w:rsid w:val="002B07D9"/>
    <w:rsid w:val="002B56DC"/>
    <w:rsid w:val="002E4956"/>
    <w:rsid w:val="003041A4"/>
    <w:rsid w:val="00312A5D"/>
    <w:rsid w:val="00340A4C"/>
    <w:rsid w:val="00367A33"/>
    <w:rsid w:val="00382C15"/>
    <w:rsid w:val="00386B30"/>
    <w:rsid w:val="00386F52"/>
    <w:rsid w:val="003A478A"/>
    <w:rsid w:val="003D3889"/>
    <w:rsid w:val="003E66F2"/>
    <w:rsid w:val="004247C4"/>
    <w:rsid w:val="004405ED"/>
    <w:rsid w:val="004C46FF"/>
    <w:rsid w:val="004D3C96"/>
    <w:rsid w:val="004F3A6B"/>
    <w:rsid w:val="00502905"/>
    <w:rsid w:val="00515D0F"/>
    <w:rsid w:val="0054038B"/>
    <w:rsid w:val="005D65D7"/>
    <w:rsid w:val="006246E5"/>
    <w:rsid w:val="0064406D"/>
    <w:rsid w:val="00657B19"/>
    <w:rsid w:val="006715DD"/>
    <w:rsid w:val="006746B4"/>
    <w:rsid w:val="00686590"/>
    <w:rsid w:val="006C36F7"/>
    <w:rsid w:val="00730107"/>
    <w:rsid w:val="0074113B"/>
    <w:rsid w:val="007B50A8"/>
    <w:rsid w:val="007E6645"/>
    <w:rsid w:val="00844BB1"/>
    <w:rsid w:val="00882E78"/>
    <w:rsid w:val="008D2EE2"/>
    <w:rsid w:val="00904523"/>
    <w:rsid w:val="009629D1"/>
    <w:rsid w:val="00973DFC"/>
    <w:rsid w:val="0098213E"/>
    <w:rsid w:val="009855B0"/>
    <w:rsid w:val="009B79C3"/>
    <w:rsid w:val="009F554E"/>
    <w:rsid w:val="00A36323"/>
    <w:rsid w:val="00A6394F"/>
    <w:rsid w:val="00A6603A"/>
    <w:rsid w:val="00A70172"/>
    <w:rsid w:val="00A7544F"/>
    <w:rsid w:val="00A8572F"/>
    <w:rsid w:val="00AA7ACD"/>
    <w:rsid w:val="00B159D7"/>
    <w:rsid w:val="00B2671D"/>
    <w:rsid w:val="00B34CFB"/>
    <w:rsid w:val="00B96BAF"/>
    <w:rsid w:val="00C153A2"/>
    <w:rsid w:val="00C16F4E"/>
    <w:rsid w:val="00C42C7A"/>
    <w:rsid w:val="00C75B11"/>
    <w:rsid w:val="00CF7AD6"/>
    <w:rsid w:val="00D2522E"/>
    <w:rsid w:val="00D33503"/>
    <w:rsid w:val="00D53F67"/>
    <w:rsid w:val="00D563A9"/>
    <w:rsid w:val="00D6555B"/>
    <w:rsid w:val="00D82D45"/>
    <w:rsid w:val="00DA5359"/>
    <w:rsid w:val="00DE1CAC"/>
    <w:rsid w:val="00E37E95"/>
    <w:rsid w:val="00E657C1"/>
    <w:rsid w:val="00E752F2"/>
    <w:rsid w:val="00EA1483"/>
    <w:rsid w:val="00EF00B7"/>
    <w:rsid w:val="00EF7F29"/>
    <w:rsid w:val="00F13FCA"/>
    <w:rsid w:val="00F56CBF"/>
    <w:rsid w:val="00FA5874"/>
    <w:rsid w:val="00FB4906"/>
    <w:rsid w:val="00FD1C16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0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0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FF66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F66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6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94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3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Squash Forbund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Seiersen</dc:creator>
  <cp:lastModifiedBy>tom</cp:lastModifiedBy>
  <cp:revision>2</cp:revision>
  <cp:lastPrinted>2008-09-23T12:36:00Z</cp:lastPrinted>
  <dcterms:created xsi:type="dcterms:W3CDTF">2014-03-21T11:24:00Z</dcterms:created>
  <dcterms:modified xsi:type="dcterms:W3CDTF">2014-03-21T11:24:00Z</dcterms:modified>
</cp:coreProperties>
</file>